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4C" w:rsidRDefault="00302F98">
      <w:pPr>
        <w:rPr>
          <w:rFonts w:ascii="Tahoma" w:hAnsi="Tahoma" w:cs="Tahoma"/>
          <w:color w:val="747E89"/>
          <w:shd w:val="clear" w:color="auto" w:fill="FDFDFD"/>
        </w:rPr>
      </w:pPr>
      <w:r>
        <w:rPr>
          <w:rStyle w:val="a3"/>
          <w:rFonts w:ascii="Tahoma" w:hAnsi="Tahoma" w:cs="Tahoma"/>
          <w:b/>
          <w:bCs/>
          <w:color w:val="747E89"/>
          <w:shd w:val="clear" w:color="auto" w:fill="FDFDFD"/>
        </w:rPr>
        <w:t>Раздельное накопление ТКО</w:t>
      </w:r>
      <w:r>
        <w:rPr>
          <w:rFonts w:ascii="Tahoma" w:hAnsi="Tahoma" w:cs="Tahoma"/>
          <w:color w:val="747E89"/>
          <w:shd w:val="clear" w:color="auto" w:fill="FDFDFD"/>
        </w:rPr>
        <w:t> – раздельное складирование ТКО по видам отходов, группам отходов, группам однородных отходов (раздельное накопление).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Раздельное накопление ТКО может осуществляться одним из следующих способов:</w:t>
      </w:r>
    </w:p>
    <w:p w:rsidR="00302F98" w:rsidRPr="00302F98" w:rsidRDefault="00302F98" w:rsidP="00302F98">
      <w:pPr>
        <w:shd w:val="clear" w:color="auto" w:fill="FDFDFD"/>
        <w:spacing w:after="150" w:line="360" w:lineRule="atLeast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1. Дуальная система раздельного накопления ТКО – система раздельного накопления ТКО, при которой раздельное накопление ТКО на контейнерных площадках, расположенных на территории, осуществляется дуальным способом.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b/>
          <w:bCs/>
          <w:i/>
          <w:iCs/>
          <w:color w:val="747E89"/>
          <w:sz w:val="24"/>
          <w:szCs w:val="24"/>
          <w:lang w:eastAsia="ru-RU"/>
        </w:rPr>
        <w:t>Дуальный способ</w:t>
      </w: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– способ раздельного накопления ТКО, при котором ТКО разделяются на две части: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left="1429" w:hanging="360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Symbol" w:eastAsia="Times New Roman" w:hAnsi="Symbol" w:cs="Tahoma"/>
          <w:color w:val="747E89"/>
          <w:sz w:val="24"/>
          <w:szCs w:val="24"/>
          <w:lang w:eastAsia="ru-RU"/>
        </w:rPr>
        <w:t></w:t>
      </w:r>
      <w:r w:rsidRPr="00302F98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   </w:t>
      </w:r>
      <w:r w:rsidRPr="00302F98">
        <w:rPr>
          <w:rFonts w:ascii="Tahoma" w:eastAsia="Times New Roman" w:hAnsi="Tahoma" w:cs="Tahoma"/>
          <w:b/>
          <w:bCs/>
          <w:color w:val="747E89"/>
          <w:sz w:val="24"/>
          <w:szCs w:val="24"/>
          <w:lang w:eastAsia="ru-RU"/>
        </w:rPr>
        <w:t>сортируемые</w:t>
      </w: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(перерабатываемые/сухие) отходы – подлежащие утилизации фракции, не загрязненные органическими (пищевыми) отходами (бумага, картон, пластик, полиэтилен, металл, стекло, текстиль, не загрязненных органическими (пищевыми) отходами);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left="1429" w:hanging="360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Symbol" w:eastAsia="Times New Roman" w:hAnsi="Symbol" w:cs="Tahoma"/>
          <w:color w:val="747E89"/>
          <w:sz w:val="24"/>
          <w:szCs w:val="24"/>
          <w:lang w:eastAsia="ru-RU"/>
        </w:rPr>
        <w:t></w:t>
      </w:r>
      <w:r w:rsidRPr="00302F98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   </w:t>
      </w:r>
      <w:proofErr w:type="spellStart"/>
      <w:r w:rsidRPr="00302F98">
        <w:rPr>
          <w:rFonts w:ascii="Tahoma" w:eastAsia="Times New Roman" w:hAnsi="Tahoma" w:cs="Tahoma"/>
          <w:b/>
          <w:bCs/>
          <w:color w:val="747E89"/>
          <w:sz w:val="24"/>
          <w:szCs w:val="24"/>
          <w:lang w:eastAsia="ru-RU"/>
        </w:rPr>
        <w:t>несортируемые</w:t>
      </w:r>
      <w:proofErr w:type="spellEnd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(смешанные/</w:t>
      </w:r>
      <w:proofErr w:type="spellStart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неперерабатываемые</w:t>
      </w:r>
      <w:proofErr w:type="spellEnd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/мокрые) – не подлежащие утилизации фракции, в том числе загрязненные органическими (пищевыми) отходами и органические (пищевые) отходы, складируемые в смеси с другими фракциями (пищевые отходы, загрязненная упаковка от пищевых продуктов, средства личной гигиены, др.).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При дуальном способе раздельного накопления ТКО на контейнерной площадке установлены контейнеры одного типа (обычно пластиковые евро-контейнеры) одного или двух цветов с соответствующей маркировкой: «</w:t>
      </w:r>
      <w:proofErr w:type="gramStart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сортируемые»/</w:t>
      </w:r>
      <w:proofErr w:type="gramEnd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«смешанные»/«</w:t>
      </w:r>
      <w:proofErr w:type="spellStart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неперерабатываемые</w:t>
      </w:r>
      <w:proofErr w:type="spellEnd"/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»/«мокрые» – «сортируемые»/ /«перерабатываемые»/«сухие»). Маркировка сопровождается символическим изображением размещаемых отходов (изображение бутылки, банки) или словесным описанием (стекло, пластик, бумага и др.).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2. Фракционная система раздельного накопления ТКО – система раздельного накопления ТКО, при которой раздельное накопление ТКО на контейнерных площадках, расположенных на территории, осуществляется фракционным способом.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b/>
          <w:bCs/>
          <w:i/>
          <w:iCs/>
          <w:color w:val="747E89"/>
          <w:sz w:val="24"/>
          <w:szCs w:val="24"/>
          <w:lang w:eastAsia="ru-RU"/>
        </w:rPr>
        <w:lastRenderedPageBreak/>
        <w:t>Фракционный способ</w:t>
      </w: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– способ раздельного накопления ТКО, при котором из ТКО выделяется одна и более фракций, не загрязненных органическими (пищевыми) отходами.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b/>
          <w:bCs/>
          <w:i/>
          <w:iCs/>
          <w:color w:val="747E89"/>
          <w:sz w:val="24"/>
          <w:szCs w:val="24"/>
          <w:lang w:eastAsia="ru-RU"/>
        </w:rPr>
        <w:t>Фракция</w:t>
      </w: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– составная часть ТКО, представляющая собой виды отходов, группы отходов или группы однородных отходов, которые или компоненты которых могут быть повторно использованы, отличающаяся от других частей ТКО по происхождению, химическому составу и свойствам (например, пластик).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При фракционном способе раздельного накопления ТКО на контейнерной могут быть установлены: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left="1429" w:hanging="360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Symbol" w:eastAsia="Times New Roman" w:hAnsi="Symbol" w:cs="Tahoma"/>
          <w:color w:val="747E89"/>
          <w:sz w:val="24"/>
          <w:szCs w:val="24"/>
          <w:lang w:eastAsia="ru-RU"/>
        </w:rPr>
        <w:t></w:t>
      </w:r>
      <w:r w:rsidRPr="00302F98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   </w:t>
      </w:r>
      <w:r w:rsidRPr="00302F98">
        <w:rPr>
          <w:rFonts w:ascii="Tahoma" w:eastAsia="Times New Roman" w:hAnsi="Tahoma" w:cs="Tahoma"/>
          <w:b/>
          <w:bCs/>
          <w:color w:val="747E89"/>
          <w:sz w:val="24"/>
          <w:szCs w:val="24"/>
          <w:lang w:eastAsia="ru-RU"/>
        </w:rPr>
        <w:t>контейнеры одного типа</w:t>
      </w: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(обычно пластиковые евро-контейнеры) одного или нескольких цветов (по количеству собираемых фракций).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left="1429" w:hanging="360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Symbol" w:eastAsia="Times New Roman" w:hAnsi="Symbol" w:cs="Tahoma"/>
          <w:color w:val="747E89"/>
          <w:sz w:val="24"/>
          <w:szCs w:val="24"/>
          <w:lang w:eastAsia="ru-RU"/>
        </w:rPr>
        <w:t></w:t>
      </w:r>
      <w:r w:rsidRPr="00302F98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   </w:t>
      </w:r>
      <w:r w:rsidRPr="00302F98">
        <w:rPr>
          <w:rFonts w:ascii="Tahoma" w:eastAsia="Times New Roman" w:hAnsi="Tahoma" w:cs="Tahoma"/>
          <w:b/>
          <w:bCs/>
          <w:color w:val="747E89"/>
          <w:sz w:val="24"/>
          <w:szCs w:val="24"/>
          <w:lang w:eastAsia="ru-RU"/>
        </w:rPr>
        <w:t>контейнеры разного типа</w:t>
      </w: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(пластиковые и сетчатые контейнеры). Контейнеры для накопления отдельных фракций сопровождаются маркировкой в виде наклеек или надписей, позволяющих определить принадлежность к собираемой фракции (например, изображение бутылки и надпись пластик).</w:t>
      </w:r>
    </w:p>
    <w:p w:rsidR="00302F98" w:rsidRPr="00302F98" w:rsidRDefault="00302F98" w:rsidP="0030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3B4256"/>
          <w:sz w:val="24"/>
          <w:szCs w:val="24"/>
          <w:shd w:val="clear" w:color="auto" w:fill="FDFDFD"/>
          <w:lang w:eastAsia="ru-RU"/>
        </w:rPr>
        <w:t> 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center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b/>
          <w:bCs/>
          <w:color w:val="747E89"/>
          <w:sz w:val="24"/>
          <w:szCs w:val="24"/>
          <w:u w:val="single"/>
          <w:lang w:eastAsia="ru-RU"/>
        </w:rPr>
        <w:t>Информация о системе раздельного накопления ТКО на территории городского округа Верхняя Пышма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На территории городского округа Верхняя Пышма реализуется дуальная система (дуальный способ).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Региональный оператор по обращению с ТКО в городском округе Верхняя Пышма - ЕМУП «Спецавтобаза»: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Территориальное представительство расположено по адресу: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г. Верхняя Пышма, ул. Менделеева, д.23 оф.12</w:t>
      </w:r>
    </w:p>
    <w:p w:rsidR="00302F98" w:rsidRPr="00302F98" w:rsidRDefault="00302F98" w:rsidP="00302F98">
      <w:pPr>
        <w:shd w:val="clear" w:color="auto" w:fill="FDFDFD"/>
        <w:spacing w:before="360" w:after="36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02F98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Телефон: 8 (343) 2000 367</w:t>
      </w:r>
    </w:p>
    <w:p w:rsidR="00302F98" w:rsidRDefault="00302F98">
      <w:bookmarkStart w:id="0" w:name="_GoBack"/>
      <w:bookmarkEnd w:id="0"/>
    </w:p>
    <w:sectPr w:rsidR="0030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BF"/>
    <w:rsid w:val="00302F98"/>
    <w:rsid w:val="0036384C"/>
    <w:rsid w:val="006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E813-8A31-41F4-A922-CAB73C4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2F98"/>
    <w:rPr>
      <w:i/>
      <w:iCs/>
    </w:rPr>
  </w:style>
  <w:style w:type="paragraph" w:styleId="a4">
    <w:name w:val="Normal (Web)"/>
    <w:basedOn w:val="a"/>
    <w:uiPriority w:val="99"/>
    <w:semiHidden/>
    <w:unhideWhenUsed/>
    <w:rsid w:val="0030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F98"/>
    <w:rPr>
      <w:b/>
      <w:bCs/>
    </w:rPr>
  </w:style>
  <w:style w:type="paragraph" w:styleId="a6">
    <w:name w:val="List Paragraph"/>
    <w:basedOn w:val="a"/>
    <w:uiPriority w:val="34"/>
    <w:qFormat/>
    <w:rsid w:val="0030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Деменьшина Надежда Сергеевна</dc:creator>
  <cp:keywords/>
  <dc:description/>
  <cp:lastModifiedBy>Деменьшина Надежда Сергеевна</cp:lastModifiedBy>
  <cp:revision>2</cp:revision>
  <dcterms:created xsi:type="dcterms:W3CDTF">2024-06-20T03:40:00Z</dcterms:created>
  <dcterms:modified xsi:type="dcterms:W3CDTF">2024-06-20T03:43:00Z</dcterms:modified>
</cp:coreProperties>
</file>